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A5E" w:rsidRDefault="00834A5E" w:rsidP="00834A5E">
      <w:pPr>
        <w:spacing w:before="100" w:beforeAutospacing="1" w:after="100" w:afterAutospacing="1" w:line="240" w:lineRule="auto"/>
        <w:jc w:val="both"/>
        <w:rPr>
          <w:rFonts w:ascii="Verdana" w:eastAsia="Times New Roman" w:hAnsi="Verdana" w:cs="Times New Roman"/>
          <w:b/>
          <w:bCs/>
          <w:sz w:val="24"/>
          <w:szCs w:val="24"/>
          <w:lang w:eastAsia="es-CL"/>
        </w:rPr>
      </w:pPr>
    </w:p>
    <w:p w:rsidR="00834A5E" w:rsidRPr="00834A5E" w:rsidRDefault="00834A5E" w:rsidP="00834A5E">
      <w:pPr>
        <w:spacing w:before="100" w:beforeAutospacing="1" w:after="100" w:afterAutospacing="1" w:line="240" w:lineRule="auto"/>
        <w:jc w:val="both"/>
        <w:rPr>
          <w:rFonts w:ascii="Verdana" w:eastAsia="Times New Roman" w:hAnsi="Verdana" w:cs="Times New Roman"/>
          <w:sz w:val="32"/>
          <w:szCs w:val="24"/>
          <w:lang w:eastAsia="es-CL"/>
        </w:rPr>
      </w:pPr>
      <w:r w:rsidRPr="00834A5E">
        <w:rPr>
          <w:rFonts w:ascii="Verdana" w:eastAsia="Times New Roman" w:hAnsi="Verdana" w:cs="Times New Roman"/>
          <w:b/>
          <w:bCs/>
          <w:sz w:val="32"/>
          <w:szCs w:val="24"/>
          <w:lang w:eastAsia="es-CL"/>
        </w:rPr>
        <w:t>Modelo de Requerimientos Técnicos de Referencia para el Servicio de Mantención de Semáforos</w:t>
      </w:r>
    </w:p>
    <w:p w:rsidR="00834A5E" w:rsidRPr="00834A5E" w:rsidRDefault="00834A5E" w:rsidP="00834A5E">
      <w:pPr>
        <w:spacing w:before="100" w:beforeAutospacing="1" w:after="100" w:afterAutospacing="1" w:line="240" w:lineRule="auto"/>
        <w:jc w:val="both"/>
        <w:rPr>
          <w:rFonts w:ascii="Verdana" w:eastAsia="Times New Roman" w:hAnsi="Verdana" w:cs="Times New Roman"/>
          <w:sz w:val="24"/>
          <w:szCs w:val="24"/>
          <w:lang w:eastAsia="es-CL"/>
        </w:rPr>
      </w:pPr>
      <w:r w:rsidRPr="00834A5E">
        <w:rPr>
          <w:rFonts w:ascii="Verdana" w:eastAsia="Times New Roman" w:hAnsi="Verdana" w:cs="Times New Roman"/>
          <w:sz w:val="24"/>
          <w:szCs w:val="24"/>
          <w:lang w:eastAsia="es-CL"/>
        </w:rPr>
        <w:t xml:space="preserve">El presente documento, elaborado por la Unidad Operativa de Control de Tránsito (UOCT) dependiente de la Subsecretaría de Transportes, constituye un modelo de requerimientos técnicos de referencia alineado con los estándares del sistema centralizado. Su propósito es poner a disposición de los municipios un conjunto de recomendaciones y sugerencias generales orientadas al aseguramiento de la calidad de los servicios de mantenimiento de semáforos y a la seguridad vial. </w:t>
      </w:r>
      <w:bookmarkStart w:id="0" w:name="_GoBack"/>
      <w:bookmarkEnd w:id="0"/>
    </w:p>
    <w:p w:rsidR="00834A5E" w:rsidRPr="00834A5E" w:rsidRDefault="00834A5E" w:rsidP="00834A5E">
      <w:pPr>
        <w:spacing w:before="100" w:beforeAutospacing="1" w:after="100" w:afterAutospacing="1" w:line="240" w:lineRule="auto"/>
        <w:jc w:val="both"/>
        <w:rPr>
          <w:rFonts w:ascii="Verdana" w:eastAsia="Times New Roman" w:hAnsi="Verdana" w:cs="Times New Roman"/>
          <w:sz w:val="24"/>
          <w:szCs w:val="24"/>
          <w:lang w:eastAsia="es-CL"/>
        </w:rPr>
      </w:pPr>
      <w:r w:rsidRPr="00834A5E">
        <w:rPr>
          <w:rFonts w:ascii="Verdana" w:eastAsia="Times New Roman" w:hAnsi="Verdana" w:cs="Times New Roman"/>
          <w:b/>
          <w:bCs/>
          <w:sz w:val="24"/>
          <w:szCs w:val="24"/>
          <w:lang w:eastAsia="es-CL"/>
        </w:rPr>
        <w:t>Aviso Legal e Institucional Importante:</w:t>
      </w:r>
      <w:r w:rsidRPr="00834A5E">
        <w:rPr>
          <w:rFonts w:ascii="Verdana" w:eastAsia="Times New Roman" w:hAnsi="Verdana" w:cs="Times New Roman"/>
          <w:sz w:val="24"/>
          <w:szCs w:val="24"/>
          <w:lang w:eastAsia="es-CL"/>
        </w:rPr>
        <w:t xml:space="preserve"> Este insumo es estrictamente referencial y no constituye bases de licitación bajo ningún motivo. La redacción, estructuración, especificaciones finales y la defensa jurídica de las bases de licitación definitivas corresponden y son de responsabilidad exclusiva de cada Municipio. </w:t>
      </w:r>
    </w:p>
    <w:p w:rsidR="00834A5E" w:rsidRDefault="00834A5E"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D5393B" w:rsidRDefault="00D5393B"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D5393B" w:rsidRDefault="00D5393B"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834A5E" w:rsidRDefault="00834A5E"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834A5E" w:rsidRDefault="00834A5E"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834A5E" w:rsidRDefault="00834A5E"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834A5E" w:rsidRDefault="00834A5E"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834A5E" w:rsidRDefault="00834A5E"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834A5E" w:rsidRDefault="00834A5E" w:rsidP="00522261">
      <w:pPr>
        <w:spacing w:before="100" w:beforeAutospacing="1" w:after="100" w:afterAutospacing="1" w:line="240" w:lineRule="auto"/>
        <w:jc w:val="both"/>
        <w:outlineLvl w:val="0"/>
        <w:rPr>
          <w:rFonts w:ascii="Arial" w:eastAsia="Times New Roman" w:hAnsi="Arial" w:cs="Arial"/>
          <w:b/>
          <w:bCs/>
          <w:kern w:val="36"/>
          <w:sz w:val="48"/>
          <w:szCs w:val="48"/>
          <w:lang w:eastAsia="es-CL"/>
        </w:rPr>
      </w:pPr>
    </w:p>
    <w:p w:rsidR="009E195D" w:rsidRPr="00834A5E" w:rsidRDefault="009E195D" w:rsidP="00522261">
      <w:pPr>
        <w:spacing w:before="100" w:beforeAutospacing="1" w:after="100" w:afterAutospacing="1" w:line="240" w:lineRule="auto"/>
        <w:jc w:val="both"/>
        <w:outlineLvl w:val="0"/>
        <w:rPr>
          <w:rFonts w:ascii="Verdana" w:eastAsia="Times New Roman" w:hAnsi="Verdana" w:cs="Arial"/>
          <w:b/>
          <w:bCs/>
          <w:kern w:val="36"/>
          <w:sz w:val="48"/>
          <w:szCs w:val="48"/>
          <w:lang w:eastAsia="es-CL"/>
        </w:rPr>
      </w:pPr>
      <w:r w:rsidRPr="00834A5E">
        <w:rPr>
          <w:rFonts w:ascii="Verdana" w:eastAsia="Times New Roman" w:hAnsi="Verdana" w:cs="Arial"/>
          <w:b/>
          <w:bCs/>
          <w:kern w:val="36"/>
          <w:sz w:val="48"/>
          <w:szCs w:val="48"/>
          <w:lang w:eastAsia="es-CL"/>
        </w:rPr>
        <w:lastRenderedPageBreak/>
        <w:t>ESPECIFICACIONES TÉCNICAS</w:t>
      </w:r>
    </w:p>
    <w:p w:rsidR="009E195D" w:rsidRPr="00834A5E" w:rsidRDefault="009E195D" w:rsidP="00522261">
      <w:p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b/>
          <w:bCs/>
          <w:sz w:val="24"/>
          <w:szCs w:val="24"/>
          <w:lang w:eastAsia="es-CL"/>
        </w:rPr>
        <w:t>"SERVICIO DE MANTENCIÓN PARA SISTEMA DE CONTROL DE TRÁNSITO, COMUNA XXXX"</w:t>
      </w:r>
    </w:p>
    <w:p w:rsidR="009E195D" w:rsidRPr="00834A5E" w:rsidRDefault="009E195D" w:rsidP="00522261">
      <w:pPr>
        <w:spacing w:before="100" w:beforeAutospacing="1" w:after="100" w:afterAutospacing="1" w:line="240" w:lineRule="auto"/>
        <w:jc w:val="both"/>
        <w:outlineLvl w:val="2"/>
        <w:rPr>
          <w:rFonts w:ascii="Verdana" w:eastAsia="Times New Roman" w:hAnsi="Verdana" w:cs="Arial"/>
          <w:b/>
          <w:bCs/>
          <w:sz w:val="27"/>
          <w:szCs w:val="27"/>
          <w:lang w:eastAsia="es-CL"/>
        </w:rPr>
      </w:pPr>
      <w:r w:rsidRPr="00834A5E">
        <w:rPr>
          <w:rFonts w:ascii="Verdana" w:eastAsia="Times New Roman" w:hAnsi="Verdana" w:cs="Arial"/>
          <w:b/>
          <w:bCs/>
          <w:sz w:val="27"/>
          <w:szCs w:val="27"/>
          <w:lang w:eastAsia="es-CL"/>
        </w:rPr>
        <w:t>1. INTRODUCCIÓN Y OBJETIVO</w:t>
      </w:r>
    </w:p>
    <w:p w:rsidR="009E195D" w:rsidRPr="00834A5E" w:rsidRDefault="009E195D" w:rsidP="00522261">
      <w:p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El sistema de semáforos de la comuna se encuentra centralizado y coordinado por la Unidad Operativa de Control de Tránsito (UOCT), entidad dependiente de la Subsecretaría de Transportes. Cada cruce semaforizado se comunica al Centro de Control de Tránsito mediante unidades de comunicación y líneas de transmisión de datos (Sistema SCAT). </w:t>
      </w:r>
    </w:p>
    <w:p w:rsidR="009E195D" w:rsidRPr="00834A5E" w:rsidRDefault="009E195D" w:rsidP="00522261">
      <w:p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El objetivo de estas Especificaciones Técnicas es garantizar la seguridad y continuidad del funcionamiento de los dispositivos de control de tránsito de la comuna (semáforos, balizas, hitos y pórticos). Se busca minimizar los tiempos de detección y corrección de fallas, asegurando la adaptación de los dispositivos a la dinámica del medio y priorizando siempre la seguridad vial y la integración con el sistema centralizado de la UOCT. </w:t>
      </w:r>
    </w:p>
    <w:p w:rsidR="009E195D" w:rsidRPr="00834A5E" w:rsidRDefault="009E195D" w:rsidP="00522261">
      <w:pPr>
        <w:spacing w:before="100" w:beforeAutospacing="1" w:after="100" w:afterAutospacing="1" w:line="240" w:lineRule="auto"/>
        <w:jc w:val="both"/>
        <w:outlineLvl w:val="2"/>
        <w:rPr>
          <w:rFonts w:ascii="Verdana" w:eastAsia="Times New Roman" w:hAnsi="Verdana" w:cs="Arial"/>
          <w:b/>
          <w:bCs/>
          <w:sz w:val="27"/>
          <w:szCs w:val="27"/>
          <w:lang w:eastAsia="es-CL"/>
        </w:rPr>
      </w:pPr>
      <w:r w:rsidRPr="00834A5E">
        <w:rPr>
          <w:rFonts w:ascii="Verdana" w:eastAsia="Times New Roman" w:hAnsi="Verdana" w:cs="Arial"/>
          <w:b/>
          <w:bCs/>
          <w:sz w:val="27"/>
          <w:szCs w:val="27"/>
          <w:lang w:eastAsia="es-CL"/>
        </w:rPr>
        <w:t>2. NORMATIVA APLICABLE</w:t>
      </w:r>
    </w:p>
    <w:p w:rsidR="009E195D" w:rsidRPr="00834A5E" w:rsidRDefault="009E195D" w:rsidP="00522261">
      <w:p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El contratista</w:t>
      </w:r>
      <w:r w:rsidR="00522261" w:rsidRPr="00834A5E">
        <w:rPr>
          <w:rFonts w:ascii="Verdana" w:eastAsia="Times New Roman" w:hAnsi="Verdana" w:cs="Arial"/>
          <w:sz w:val="24"/>
          <w:szCs w:val="24"/>
          <w:lang w:eastAsia="es-CL"/>
        </w:rPr>
        <w:t xml:space="preserve"> que resulte adjudicado,</w:t>
      </w:r>
      <w:r w:rsidRPr="00834A5E">
        <w:rPr>
          <w:rFonts w:ascii="Verdana" w:eastAsia="Times New Roman" w:hAnsi="Verdana" w:cs="Arial"/>
          <w:sz w:val="24"/>
          <w:szCs w:val="24"/>
          <w:lang w:eastAsia="es-CL"/>
        </w:rPr>
        <w:t xml:space="preserve"> deberá ejecutar los servicios en estricto cumplimiento de las siguientes normativas:</w:t>
      </w:r>
    </w:p>
    <w:p w:rsidR="009E195D" w:rsidRPr="00834A5E" w:rsidRDefault="009E195D" w:rsidP="00522261">
      <w:pPr>
        <w:numPr>
          <w:ilvl w:val="0"/>
          <w:numId w:val="1"/>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Especificaciones para Controladores y Especificaciones Técnicas para la Instalación de </w:t>
      </w:r>
      <w:r w:rsidR="00522261" w:rsidRPr="00834A5E">
        <w:rPr>
          <w:rFonts w:ascii="Verdana" w:eastAsia="Times New Roman" w:hAnsi="Verdana" w:cs="Arial"/>
          <w:sz w:val="24"/>
          <w:szCs w:val="24"/>
          <w:lang w:eastAsia="es-CL"/>
        </w:rPr>
        <w:t>Semáforos de la UOCT que se encuentren vigentes al momento de la contratación.</w:t>
      </w:r>
    </w:p>
    <w:p w:rsidR="009E195D" w:rsidRPr="00834A5E" w:rsidRDefault="009E195D" w:rsidP="00522261">
      <w:pPr>
        <w:numPr>
          <w:ilvl w:val="0"/>
          <w:numId w:val="1"/>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Normas y Reglamentos vigentes de la Superintendencia de Electricidad y Combustibles (SEC). </w:t>
      </w:r>
    </w:p>
    <w:p w:rsidR="009E195D" w:rsidRPr="00834A5E" w:rsidRDefault="009E195D" w:rsidP="00522261">
      <w:pPr>
        <w:numPr>
          <w:ilvl w:val="0"/>
          <w:numId w:val="1"/>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Manual de Señalización de Tránsito del Ministerio de Transportes y Telecomunicaciones. </w:t>
      </w:r>
    </w:p>
    <w:p w:rsidR="009E195D" w:rsidRPr="00834A5E" w:rsidRDefault="009E195D" w:rsidP="00522261">
      <w:pPr>
        <w:numPr>
          <w:ilvl w:val="0"/>
          <w:numId w:val="1"/>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Ley N° 16.744 sobre Accidentes del Trabajo y Enfermedades Profesionales. </w:t>
      </w:r>
    </w:p>
    <w:p w:rsidR="009E195D" w:rsidRPr="00834A5E" w:rsidRDefault="009E195D" w:rsidP="00522261">
      <w:pPr>
        <w:pStyle w:val="Ttulo3"/>
        <w:jc w:val="both"/>
        <w:rPr>
          <w:rFonts w:ascii="Verdana" w:hAnsi="Verdana" w:cs="Arial"/>
        </w:rPr>
      </w:pPr>
      <w:r w:rsidRPr="00834A5E">
        <w:rPr>
          <w:rFonts w:ascii="Verdana" w:hAnsi="Verdana" w:cs="Arial"/>
        </w:rPr>
        <w:t>3. RELACIÓN Y EXIGENCIAS UOCT (SISTEMA CENTRALIZADO)</w:t>
      </w:r>
    </w:p>
    <w:p w:rsidR="009E195D" w:rsidRPr="00834A5E" w:rsidRDefault="009E195D" w:rsidP="00522261">
      <w:pPr>
        <w:pStyle w:val="NormalWeb"/>
        <w:jc w:val="both"/>
        <w:rPr>
          <w:rFonts w:ascii="Verdana" w:hAnsi="Verdana" w:cs="Arial"/>
        </w:rPr>
      </w:pPr>
      <w:r w:rsidRPr="00834A5E">
        <w:rPr>
          <w:rFonts w:ascii="Verdana" w:hAnsi="Verdana" w:cs="Arial"/>
        </w:rPr>
        <w:t>Dado que la red semafórica forma parte del Sistema de Control de Área de Tráfico (SCAT), el contratista deberá cumplir con los siguientes requerimientos críticos:</w:t>
      </w:r>
    </w:p>
    <w:p w:rsidR="009E195D" w:rsidRPr="00834A5E" w:rsidRDefault="009E195D" w:rsidP="00522261">
      <w:pPr>
        <w:pStyle w:val="NormalWeb"/>
        <w:numPr>
          <w:ilvl w:val="0"/>
          <w:numId w:val="8"/>
        </w:numPr>
        <w:jc w:val="both"/>
        <w:rPr>
          <w:rFonts w:ascii="Verdana" w:hAnsi="Verdana" w:cs="Arial"/>
        </w:rPr>
      </w:pPr>
      <w:r w:rsidRPr="00834A5E">
        <w:rPr>
          <w:rFonts w:ascii="Verdana" w:hAnsi="Verdana" w:cs="Arial"/>
          <w:b/>
          <w:bCs/>
        </w:rPr>
        <w:lastRenderedPageBreak/>
        <w:t>Modalidad Centralizada:</w:t>
      </w:r>
      <w:r w:rsidRPr="00834A5E">
        <w:rPr>
          <w:rFonts w:ascii="Verdana" w:hAnsi="Verdana" w:cs="Arial"/>
        </w:rPr>
        <w:t xml:space="preserve"> El contratista debe asegurar que todos los equipos operen prioritariamente bajo la modalidad de Control Central de la UOCT. </w:t>
      </w:r>
    </w:p>
    <w:p w:rsidR="009E195D" w:rsidRPr="00834A5E" w:rsidRDefault="009E195D" w:rsidP="00522261">
      <w:pPr>
        <w:pStyle w:val="NormalWeb"/>
        <w:numPr>
          <w:ilvl w:val="0"/>
          <w:numId w:val="8"/>
        </w:numPr>
        <w:jc w:val="both"/>
        <w:rPr>
          <w:rFonts w:ascii="Verdana" w:hAnsi="Verdana" w:cs="Arial"/>
        </w:rPr>
      </w:pPr>
      <w:r w:rsidRPr="00834A5E">
        <w:rPr>
          <w:rFonts w:ascii="Verdana" w:hAnsi="Verdana" w:cs="Arial"/>
          <w:b/>
          <w:bCs/>
        </w:rPr>
        <w:t>Estándar de Materiales, Repuestos y Declaraciones de Cumplimiento UOCT:</w:t>
      </w:r>
    </w:p>
    <w:p w:rsidR="009E195D" w:rsidRPr="00834A5E" w:rsidRDefault="009E195D" w:rsidP="00522261">
      <w:pPr>
        <w:pStyle w:val="NormalWeb"/>
        <w:numPr>
          <w:ilvl w:val="1"/>
          <w:numId w:val="8"/>
        </w:numPr>
        <w:jc w:val="both"/>
        <w:rPr>
          <w:rFonts w:ascii="Verdana" w:hAnsi="Verdana" w:cs="Arial"/>
        </w:rPr>
      </w:pPr>
      <w:r w:rsidRPr="00834A5E">
        <w:rPr>
          <w:rFonts w:ascii="Verdana" w:hAnsi="Verdana" w:cs="Arial"/>
        </w:rPr>
        <w:t xml:space="preserve">Todos los repuestos, insumos, controladores, componentes electrónicos y elementos de superficie que deban ser repuestos durante la vigencia del contrato deberán cumplir de forma estricta con lo que la UOCT disponga y determine en sus Especificaciones Técnicas vigentes. </w:t>
      </w:r>
    </w:p>
    <w:p w:rsidR="009E195D" w:rsidRPr="00834A5E" w:rsidRDefault="009E195D" w:rsidP="00522261">
      <w:pPr>
        <w:pStyle w:val="NormalWeb"/>
        <w:numPr>
          <w:ilvl w:val="1"/>
          <w:numId w:val="8"/>
        </w:numPr>
        <w:jc w:val="both"/>
        <w:rPr>
          <w:rFonts w:ascii="Verdana" w:hAnsi="Verdana" w:cs="Arial"/>
        </w:rPr>
      </w:pPr>
      <w:r w:rsidRPr="00834A5E">
        <w:rPr>
          <w:rFonts w:ascii="Verdana" w:hAnsi="Verdana" w:cs="Arial"/>
        </w:rPr>
        <w:t xml:space="preserve">Es condición obligatoria que cada material, equipo o pieza a reponer cumpla con las </w:t>
      </w:r>
      <w:r w:rsidRPr="00834A5E">
        <w:rPr>
          <w:rFonts w:ascii="Verdana" w:hAnsi="Verdana" w:cs="Arial"/>
          <w:bCs/>
        </w:rPr>
        <w:t>Declaraciones de Cumplimiento de Especificaciones Técnicas exigidas por la UOCT, vigentes al momento exacto de efectuar la reposición</w:t>
      </w:r>
      <w:r w:rsidRPr="00834A5E">
        <w:rPr>
          <w:rFonts w:ascii="Verdana" w:hAnsi="Verdana" w:cs="Arial"/>
        </w:rPr>
        <w:t xml:space="preserve">. </w:t>
      </w:r>
    </w:p>
    <w:p w:rsidR="009E195D" w:rsidRPr="00834A5E" w:rsidRDefault="009E195D" w:rsidP="00522261">
      <w:pPr>
        <w:pStyle w:val="NormalWeb"/>
        <w:numPr>
          <w:ilvl w:val="1"/>
          <w:numId w:val="8"/>
        </w:numPr>
        <w:jc w:val="both"/>
        <w:rPr>
          <w:rFonts w:ascii="Verdana" w:hAnsi="Verdana" w:cs="Arial"/>
        </w:rPr>
      </w:pPr>
      <w:r w:rsidRPr="00834A5E">
        <w:rPr>
          <w:rFonts w:ascii="Verdana" w:hAnsi="Verdana" w:cs="Arial"/>
        </w:rPr>
        <w:t xml:space="preserve">Queda estrictamente prohibida la instalación de cualquier elemento que no posea la acreditación de la UOCT o cuyas declaraciones de cumplimiento se encuentren vencidas o caducadas al momento de su montaje en terreno. </w:t>
      </w:r>
    </w:p>
    <w:p w:rsidR="009E195D" w:rsidRPr="00834A5E" w:rsidRDefault="00522261" w:rsidP="00522261">
      <w:pPr>
        <w:pStyle w:val="NormalWeb"/>
        <w:numPr>
          <w:ilvl w:val="0"/>
          <w:numId w:val="8"/>
        </w:numPr>
        <w:jc w:val="both"/>
        <w:rPr>
          <w:rFonts w:ascii="Verdana" w:hAnsi="Verdana" w:cs="Arial"/>
        </w:rPr>
      </w:pPr>
      <w:r w:rsidRPr="00834A5E">
        <w:rPr>
          <w:rFonts w:ascii="Verdana" w:hAnsi="Verdana" w:cs="Arial"/>
          <w:b/>
          <w:bCs/>
        </w:rPr>
        <w:t>Actualización Memorias volátiles</w:t>
      </w:r>
      <w:r w:rsidR="009E195D" w:rsidRPr="00834A5E">
        <w:rPr>
          <w:rFonts w:ascii="Verdana" w:hAnsi="Verdana" w:cs="Arial"/>
          <w:b/>
          <w:bCs/>
        </w:rPr>
        <w:t>:</w:t>
      </w:r>
      <w:r w:rsidR="009E195D" w:rsidRPr="00834A5E">
        <w:rPr>
          <w:rFonts w:ascii="Verdana" w:hAnsi="Verdana" w:cs="Arial"/>
        </w:rPr>
        <w:t xml:space="preserve"> Anualmente, el contratista deberá reconfigurar los controladores de la comuna grabando en la memoria </w:t>
      </w:r>
      <w:r w:rsidRPr="00834A5E">
        <w:rPr>
          <w:rFonts w:ascii="Verdana" w:hAnsi="Verdana" w:cs="Arial"/>
        </w:rPr>
        <w:t xml:space="preserve">Volátil o </w:t>
      </w:r>
      <w:r w:rsidR="009E195D" w:rsidRPr="00834A5E">
        <w:rPr>
          <w:rFonts w:ascii="Verdana" w:hAnsi="Verdana" w:cs="Arial"/>
        </w:rPr>
        <w:t xml:space="preserve">EPROM los planes de tiempo más recientes almacenados y entregados por la UOCT. </w:t>
      </w:r>
    </w:p>
    <w:p w:rsidR="009E195D" w:rsidRPr="00834A5E" w:rsidRDefault="009E195D" w:rsidP="00522261">
      <w:pPr>
        <w:pStyle w:val="NormalWeb"/>
        <w:numPr>
          <w:ilvl w:val="0"/>
          <w:numId w:val="8"/>
        </w:numPr>
        <w:jc w:val="both"/>
        <w:rPr>
          <w:rFonts w:ascii="Verdana" w:hAnsi="Verdana" w:cs="Arial"/>
        </w:rPr>
      </w:pPr>
      <w:r w:rsidRPr="00834A5E">
        <w:rPr>
          <w:rFonts w:ascii="Verdana" w:hAnsi="Verdana" w:cs="Arial"/>
          <w:b/>
          <w:bCs/>
        </w:rPr>
        <w:t>Terminal SCAT:</w:t>
      </w:r>
      <w:r w:rsidRPr="00834A5E">
        <w:rPr>
          <w:rFonts w:ascii="Verdana" w:hAnsi="Verdana" w:cs="Arial"/>
        </w:rPr>
        <w:t xml:space="preserve"> El contratista está obligado a implementar y mantener operativo en su Base de Operaciones un terminal con conexión directa al sistema central SCAT de la UOCT para el monitoreo </w:t>
      </w:r>
      <w:r w:rsidR="00522261" w:rsidRPr="00834A5E">
        <w:rPr>
          <w:rFonts w:ascii="Verdana" w:hAnsi="Verdana" w:cs="Arial"/>
        </w:rPr>
        <w:t xml:space="preserve">permanente </w:t>
      </w:r>
      <w:r w:rsidRPr="00834A5E">
        <w:rPr>
          <w:rFonts w:ascii="Verdana" w:hAnsi="Verdana" w:cs="Arial"/>
        </w:rPr>
        <w:t xml:space="preserve">de fallas. </w:t>
      </w:r>
    </w:p>
    <w:p w:rsidR="00522261" w:rsidRPr="00834A5E" w:rsidRDefault="00522261" w:rsidP="00522261">
      <w:pPr>
        <w:pStyle w:val="Ttulo3"/>
        <w:jc w:val="both"/>
        <w:rPr>
          <w:rFonts w:ascii="Verdana" w:hAnsi="Verdana" w:cs="Arial"/>
        </w:rPr>
      </w:pPr>
      <w:r w:rsidRPr="00834A5E">
        <w:rPr>
          <w:rFonts w:ascii="Verdana" w:hAnsi="Verdana" w:cs="Arial"/>
        </w:rPr>
        <w:t>4. CATEGORÍAS DEL SERVICIO DE MANTENIMIENTO</w:t>
      </w:r>
    </w:p>
    <w:p w:rsidR="00AB596A" w:rsidRPr="00834A5E" w:rsidRDefault="00AB596A" w:rsidP="00522261">
      <w:pPr>
        <w:pStyle w:val="NormalWeb"/>
        <w:jc w:val="both"/>
        <w:rPr>
          <w:rFonts w:ascii="Verdana" w:hAnsi="Verdana" w:cs="Arial"/>
        </w:rPr>
      </w:pPr>
      <w:r w:rsidRPr="00834A5E">
        <w:rPr>
          <w:rFonts w:ascii="Verdana" w:hAnsi="Verdana" w:cs="Arial"/>
        </w:rPr>
        <w:t>El contratista deberá ejecutar el mantenimiento preventivo de las unidades UPS ajustándose de forma estricta a las pautas, manuales y frecuencias recomendadas por el fabricante del equipo. En caso de no contar con especificaciones oficiales del fabricante, será obligatorio aplicar el siguiente protocolo técnico estandarizado:</w:t>
      </w:r>
    </w:p>
    <w:p w:rsidR="00AB596A" w:rsidRPr="00834A5E" w:rsidRDefault="00AB596A" w:rsidP="00C81395">
      <w:pPr>
        <w:pStyle w:val="NormalWeb"/>
        <w:numPr>
          <w:ilvl w:val="0"/>
          <w:numId w:val="14"/>
        </w:numPr>
        <w:rPr>
          <w:rFonts w:ascii="Verdana" w:hAnsi="Verdana" w:cs="Arial"/>
        </w:rPr>
      </w:pPr>
      <w:r w:rsidRPr="00834A5E">
        <w:rPr>
          <w:rFonts w:ascii="Verdana" w:hAnsi="Verdana" w:cs="Arial"/>
          <w:b/>
          <w:bCs/>
        </w:rPr>
        <w:t>Limpieza Técnica:</w:t>
      </w:r>
      <w:r w:rsidRPr="00834A5E">
        <w:rPr>
          <w:rFonts w:ascii="Verdana" w:hAnsi="Verdana" w:cs="Arial"/>
        </w:rPr>
        <w:t xml:space="preserve"> Limpieza interior y exterior de gabinetes, eliminando la acumulación de polvo con especial atención en rejillas de ventilación y extractores de calor.</w:t>
      </w:r>
    </w:p>
    <w:p w:rsidR="00AB596A" w:rsidRPr="00834A5E" w:rsidRDefault="00AB596A" w:rsidP="00C81395">
      <w:pPr>
        <w:pStyle w:val="NormalWeb"/>
        <w:numPr>
          <w:ilvl w:val="0"/>
          <w:numId w:val="14"/>
        </w:numPr>
        <w:rPr>
          <w:rFonts w:ascii="Verdana" w:hAnsi="Verdana" w:cs="Arial"/>
        </w:rPr>
      </w:pPr>
      <w:r w:rsidRPr="00834A5E">
        <w:rPr>
          <w:rFonts w:ascii="Verdana" w:hAnsi="Verdana" w:cs="Arial"/>
          <w:b/>
          <w:bCs/>
        </w:rPr>
        <w:t>Inspección Visual del Banco de Baterías:</w:t>
      </w:r>
      <w:r w:rsidRPr="00834A5E">
        <w:rPr>
          <w:rFonts w:ascii="Verdana" w:hAnsi="Verdana" w:cs="Arial"/>
        </w:rPr>
        <w:t xml:space="preserve"> Revisión física para descartar abombamientos, sulfatación en bornes, fugas de electrolito o corrosión.</w:t>
      </w:r>
    </w:p>
    <w:p w:rsidR="00AB596A" w:rsidRPr="00834A5E" w:rsidRDefault="00AB596A" w:rsidP="00C81395">
      <w:pPr>
        <w:pStyle w:val="NormalWeb"/>
        <w:numPr>
          <w:ilvl w:val="0"/>
          <w:numId w:val="14"/>
        </w:numPr>
        <w:rPr>
          <w:rFonts w:ascii="Verdana" w:hAnsi="Verdana" w:cs="Arial"/>
        </w:rPr>
      </w:pPr>
      <w:r w:rsidRPr="00834A5E">
        <w:rPr>
          <w:rFonts w:ascii="Verdana" w:hAnsi="Verdana" w:cs="Arial"/>
          <w:b/>
          <w:bCs/>
        </w:rPr>
        <w:t>Control Térmico:</w:t>
      </w:r>
      <w:r w:rsidRPr="00834A5E">
        <w:rPr>
          <w:rFonts w:ascii="Verdana" w:hAnsi="Verdana" w:cs="Arial"/>
        </w:rPr>
        <w:t xml:space="preserve"> Comprobación de que la temperatura interna del gabinete se mantenga en los rangos operativos adecuados para evitar la degradación prematura de las celdas.</w:t>
      </w:r>
    </w:p>
    <w:p w:rsidR="00AB596A" w:rsidRPr="00834A5E" w:rsidRDefault="00AB596A" w:rsidP="00C81395">
      <w:pPr>
        <w:pStyle w:val="NormalWeb"/>
        <w:numPr>
          <w:ilvl w:val="0"/>
          <w:numId w:val="14"/>
        </w:numPr>
        <w:rPr>
          <w:rFonts w:ascii="Verdana" w:hAnsi="Verdana" w:cs="Arial"/>
        </w:rPr>
      </w:pPr>
      <w:r w:rsidRPr="00834A5E">
        <w:rPr>
          <w:rFonts w:ascii="Verdana" w:hAnsi="Verdana" w:cs="Arial"/>
          <w:b/>
          <w:bCs/>
        </w:rPr>
        <w:lastRenderedPageBreak/>
        <w:t>Diagnóstico de Panel:</w:t>
      </w:r>
      <w:r w:rsidRPr="00834A5E">
        <w:rPr>
          <w:rFonts w:ascii="Verdana" w:hAnsi="Verdana" w:cs="Arial"/>
        </w:rPr>
        <w:t xml:space="preserve"> Revisión de alarmas, códigos de error e indicadores LED del sistema.</w:t>
      </w:r>
    </w:p>
    <w:p w:rsidR="00522261" w:rsidRPr="00834A5E" w:rsidRDefault="00522261" w:rsidP="00522261">
      <w:pPr>
        <w:pStyle w:val="NormalWeb"/>
        <w:ind w:left="2160"/>
        <w:jc w:val="both"/>
        <w:rPr>
          <w:rFonts w:ascii="Verdana" w:hAnsi="Verdana" w:cs="Arial"/>
        </w:rPr>
      </w:pPr>
    </w:p>
    <w:p w:rsidR="00522261" w:rsidRPr="00834A5E" w:rsidRDefault="00522261" w:rsidP="00522261">
      <w:pPr>
        <w:pStyle w:val="Ttulo4"/>
        <w:jc w:val="both"/>
        <w:rPr>
          <w:rFonts w:ascii="Verdana" w:hAnsi="Verdana" w:cs="Arial"/>
        </w:rPr>
      </w:pPr>
      <w:r w:rsidRPr="00834A5E">
        <w:rPr>
          <w:rFonts w:ascii="Verdana" w:hAnsi="Verdana" w:cs="Arial"/>
        </w:rPr>
        <w:t>4.2. Mantenimiento Correctivo y Tiempos de Respuesta</w:t>
      </w:r>
    </w:p>
    <w:p w:rsidR="00522261" w:rsidRPr="00834A5E" w:rsidRDefault="00522261" w:rsidP="00522261">
      <w:pPr>
        <w:pStyle w:val="NormalWeb"/>
        <w:jc w:val="both"/>
        <w:rPr>
          <w:rFonts w:ascii="Verdana" w:hAnsi="Verdana" w:cs="Arial"/>
        </w:rPr>
      </w:pPr>
      <w:r w:rsidRPr="00834A5E">
        <w:rPr>
          <w:rFonts w:ascii="Verdana" w:hAnsi="Verdana" w:cs="Arial"/>
        </w:rPr>
        <w:t xml:space="preserve">Comprende la reparación de cualquier falla o desperfecto en los equipos e infraestructura semafórica. Debe prestarse las 24 horas del día, los 365 días del año. Se establecen los siguientes plazos máximos de atención: </w:t>
      </w:r>
    </w:p>
    <w:p w:rsidR="00522261" w:rsidRPr="00834A5E" w:rsidRDefault="00522261" w:rsidP="00522261">
      <w:pPr>
        <w:pStyle w:val="NormalWeb"/>
        <w:numPr>
          <w:ilvl w:val="0"/>
          <w:numId w:val="10"/>
        </w:numPr>
        <w:jc w:val="both"/>
        <w:rPr>
          <w:rFonts w:ascii="Verdana" w:hAnsi="Verdana" w:cs="Arial"/>
        </w:rPr>
      </w:pPr>
      <w:r w:rsidRPr="00834A5E">
        <w:rPr>
          <w:rFonts w:ascii="Verdana" w:hAnsi="Verdana" w:cs="Arial"/>
          <w:b/>
          <w:bCs/>
        </w:rPr>
        <w:t>Primera Prioridad (Fallas que afectan la Seguridad Vial):</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rPr>
        <w:t xml:space="preserve">Cruces apagados, lámparas rojas fundidas, cabezales virados, derribo de postes o situaciones de riesgo inminente. </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b/>
          <w:bCs/>
        </w:rPr>
        <w:t>Tiempo de atención e inicio de trabajos:</w:t>
      </w:r>
      <w:r w:rsidRPr="00834A5E">
        <w:rPr>
          <w:rFonts w:ascii="Verdana" w:hAnsi="Verdana" w:cs="Arial"/>
        </w:rPr>
        <w:t xml:space="preserve"> Máximo </w:t>
      </w:r>
      <w:r w:rsidRPr="00834A5E">
        <w:rPr>
          <w:rFonts w:ascii="Verdana" w:hAnsi="Verdana" w:cs="Arial"/>
          <w:b/>
          <w:bCs/>
        </w:rPr>
        <w:t>1 a 2 horas</w:t>
      </w:r>
      <w:r w:rsidRPr="00834A5E">
        <w:rPr>
          <w:rFonts w:ascii="Verdana" w:hAnsi="Verdana" w:cs="Arial"/>
        </w:rPr>
        <w:t xml:space="preserve"> desde la notificación o detección. </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b/>
          <w:bCs/>
        </w:rPr>
        <w:t>Medidas de emergencia:</w:t>
      </w:r>
      <w:r w:rsidRPr="00834A5E">
        <w:rPr>
          <w:rFonts w:ascii="Verdana" w:hAnsi="Verdana" w:cs="Arial"/>
        </w:rPr>
        <w:t xml:space="preserve"> Si la falla requiere reparaciones mayores que no puedan concluirse en 4 horas, el contratista deberá instalar señalización transitoria de advertencia ("Semáforo fuera de servicio"), tapar cabezales y coordinar apoyo en terreno si el cruce es crítico. </w:t>
      </w:r>
    </w:p>
    <w:p w:rsidR="00522261" w:rsidRPr="00834A5E" w:rsidRDefault="00522261" w:rsidP="00522261">
      <w:pPr>
        <w:pStyle w:val="NormalWeb"/>
        <w:numPr>
          <w:ilvl w:val="0"/>
          <w:numId w:val="10"/>
        </w:numPr>
        <w:jc w:val="both"/>
        <w:rPr>
          <w:rFonts w:ascii="Verdana" w:hAnsi="Verdana" w:cs="Arial"/>
        </w:rPr>
      </w:pPr>
      <w:r w:rsidRPr="00834A5E">
        <w:rPr>
          <w:rFonts w:ascii="Verdana" w:hAnsi="Verdana" w:cs="Arial"/>
          <w:b/>
          <w:bCs/>
        </w:rPr>
        <w:t>Segunda Prioridad (Fallas de Gestión de Tránsito - Red SCAT):</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rPr>
        <w:t xml:space="preserve">Fallas en líneas de comunicación, unidades OTU o aislamiento del cruce con la central UOCT. </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b/>
          <w:bCs/>
        </w:rPr>
        <w:t>Tiempo de atención y reparación:</w:t>
      </w:r>
      <w:r w:rsidRPr="00834A5E">
        <w:rPr>
          <w:rFonts w:ascii="Verdana" w:hAnsi="Verdana" w:cs="Arial"/>
        </w:rPr>
        <w:t xml:space="preserve"> Máximo </w:t>
      </w:r>
      <w:r w:rsidRPr="00834A5E">
        <w:rPr>
          <w:rFonts w:ascii="Verdana" w:hAnsi="Verdana" w:cs="Arial"/>
          <w:b/>
          <w:bCs/>
        </w:rPr>
        <w:t>24 a 48 horas</w:t>
      </w:r>
      <w:r w:rsidRPr="00834A5E">
        <w:rPr>
          <w:rFonts w:ascii="Verdana" w:hAnsi="Verdana" w:cs="Arial"/>
        </w:rPr>
        <w:t xml:space="preserve"> desde la notificación. </w:t>
      </w:r>
    </w:p>
    <w:p w:rsidR="00522261" w:rsidRPr="00834A5E" w:rsidRDefault="00522261" w:rsidP="00522261">
      <w:pPr>
        <w:pStyle w:val="NormalWeb"/>
        <w:numPr>
          <w:ilvl w:val="0"/>
          <w:numId w:val="10"/>
        </w:numPr>
        <w:jc w:val="both"/>
        <w:rPr>
          <w:rFonts w:ascii="Verdana" w:hAnsi="Verdana" w:cs="Arial"/>
        </w:rPr>
      </w:pPr>
      <w:r w:rsidRPr="00834A5E">
        <w:rPr>
          <w:rFonts w:ascii="Verdana" w:hAnsi="Verdana" w:cs="Arial"/>
          <w:b/>
          <w:bCs/>
        </w:rPr>
        <w:t>Tercera Prioridad (Fallas Estéticas y Menores):</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rPr>
        <w:t xml:space="preserve">Viseras dañadas, grafitis o detalles que no afecten la seguridad ni la operación del cruce. </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b/>
          <w:bCs/>
        </w:rPr>
        <w:t>Tiempo de atención:</w:t>
      </w:r>
      <w:r w:rsidRPr="00834A5E">
        <w:rPr>
          <w:rFonts w:ascii="Verdana" w:hAnsi="Verdana" w:cs="Arial"/>
        </w:rPr>
        <w:t xml:space="preserve"> Se subsanarán en un plazo no superior a </w:t>
      </w:r>
      <w:r w:rsidRPr="00834A5E">
        <w:rPr>
          <w:rFonts w:ascii="Verdana" w:hAnsi="Verdana" w:cs="Arial"/>
          <w:b/>
          <w:bCs/>
        </w:rPr>
        <w:t>15 días corridos</w:t>
      </w:r>
      <w:r w:rsidRPr="00834A5E">
        <w:rPr>
          <w:rFonts w:ascii="Verdana" w:hAnsi="Verdana" w:cs="Arial"/>
        </w:rPr>
        <w:t xml:space="preserve"> o durante la rutina preventiva mensual. </w:t>
      </w:r>
    </w:p>
    <w:p w:rsidR="00522261" w:rsidRPr="00834A5E" w:rsidRDefault="00522261" w:rsidP="00522261">
      <w:pPr>
        <w:pStyle w:val="NormalWeb"/>
        <w:numPr>
          <w:ilvl w:val="0"/>
          <w:numId w:val="10"/>
        </w:numPr>
        <w:jc w:val="both"/>
        <w:rPr>
          <w:rFonts w:ascii="Verdana" w:hAnsi="Verdana" w:cs="Arial"/>
        </w:rPr>
      </w:pPr>
      <w:r w:rsidRPr="00834A5E">
        <w:rPr>
          <w:rFonts w:ascii="Verdana" w:hAnsi="Verdana" w:cs="Arial"/>
          <w:b/>
          <w:bCs/>
        </w:rPr>
        <w:t>Plazo para Soluciones Definitivas:</w:t>
      </w:r>
    </w:p>
    <w:p w:rsidR="00522261" w:rsidRPr="00834A5E" w:rsidRDefault="00522261" w:rsidP="00522261">
      <w:pPr>
        <w:pStyle w:val="NormalWeb"/>
        <w:numPr>
          <w:ilvl w:val="1"/>
          <w:numId w:val="10"/>
        </w:numPr>
        <w:jc w:val="both"/>
        <w:rPr>
          <w:rFonts w:ascii="Verdana" w:hAnsi="Verdana" w:cs="Arial"/>
        </w:rPr>
      </w:pPr>
      <w:r w:rsidRPr="00834A5E">
        <w:rPr>
          <w:rFonts w:ascii="Verdana" w:hAnsi="Verdana" w:cs="Arial"/>
        </w:rPr>
        <w:t xml:space="preserve">Toda reparación estructural o reemplazo definitivo por derribo, destrucción de gabinetes o quema de cableado deberá quedar 100% finalizada y operativa en un plazo máximo de </w:t>
      </w:r>
      <w:r w:rsidRPr="00834A5E">
        <w:rPr>
          <w:rFonts w:ascii="Verdana" w:hAnsi="Verdana" w:cs="Arial"/>
          <w:b/>
          <w:bCs/>
        </w:rPr>
        <w:t>72 horas</w:t>
      </w:r>
      <w:r w:rsidRPr="00834A5E">
        <w:rPr>
          <w:rFonts w:ascii="Verdana" w:hAnsi="Verdana" w:cs="Arial"/>
        </w:rPr>
        <w:t xml:space="preserve">. </w:t>
      </w:r>
    </w:p>
    <w:p w:rsidR="00522261" w:rsidRPr="00834A5E" w:rsidRDefault="00522261" w:rsidP="00522261">
      <w:pPr>
        <w:pStyle w:val="Ttulo4"/>
        <w:jc w:val="both"/>
        <w:rPr>
          <w:rFonts w:ascii="Verdana" w:hAnsi="Verdana" w:cs="Arial"/>
        </w:rPr>
      </w:pPr>
      <w:r w:rsidRPr="00834A5E">
        <w:rPr>
          <w:rFonts w:ascii="Verdana" w:hAnsi="Verdana" w:cs="Arial"/>
        </w:rPr>
        <w:t>4.3. Servicios Eventuales</w:t>
      </w:r>
    </w:p>
    <w:p w:rsidR="00522261" w:rsidRPr="00834A5E" w:rsidRDefault="00522261" w:rsidP="00522261">
      <w:pPr>
        <w:pStyle w:val="NormalWeb"/>
        <w:jc w:val="both"/>
        <w:rPr>
          <w:rFonts w:ascii="Verdana" w:hAnsi="Verdana" w:cs="Arial"/>
        </w:rPr>
      </w:pPr>
      <w:r w:rsidRPr="00834A5E">
        <w:rPr>
          <w:rFonts w:ascii="Verdana" w:hAnsi="Verdana" w:cs="Arial"/>
        </w:rPr>
        <w:t xml:space="preserve">Corresponden a suministros u obras de carácter esporádico u ocasional que no forman parte del pago mensual a suma alzada de mantención y que serán solicitados mediante órdenes de trabajo u órdenes de compra a precios unitarios: </w:t>
      </w:r>
    </w:p>
    <w:p w:rsidR="00522261" w:rsidRPr="00834A5E" w:rsidRDefault="00522261" w:rsidP="00522261">
      <w:pPr>
        <w:pStyle w:val="NormalWeb"/>
        <w:numPr>
          <w:ilvl w:val="0"/>
          <w:numId w:val="11"/>
        </w:numPr>
        <w:jc w:val="both"/>
        <w:rPr>
          <w:rFonts w:ascii="Verdana" w:hAnsi="Verdana" w:cs="Arial"/>
        </w:rPr>
      </w:pPr>
      <w:r w:rsidRPr="00834A5E">
        <w:rPr>
          <w:rFonts w:ascii="Verdana" w:hAnsi="Verdana" w:cs="Arial"/>
          <w:b/>
          <w:bCs/>
        </w:rPr>
        <w:lastRenderedPageBreak/>
        <w:t>Reparación por Vandalismo o Robo:</w:t>
      </w:r>
      <w:r w:rsidRPr="00834A5E">
        <w:rPr>
          <w:rFonts w:ascii="Verdana" w:hAnsi="Verdana" w:cs="Arial"/>
        </w:rPr>
        <w:t xml:space="preserve"> Reposición integral de infraestructura o controladores cuando los daños sean causados intencionalmente por terceros o desastres naturales, previa verificación e informe acreditado por la Inspección Técnica. </w:t>
      </w:r>
    </w:p>
    <w:p w:rsidR="00522261" w:rsidRPr="00834A5E" w:rsidRDefault="00522261" w:rsidP="00522261">
      <w:pPr>
        <w:pStyle w:val="NormalWeb"/>
        <w:numPr>
          <w:ilvl w:val="0"/>
          <w:numId w:val="11"/>
        </w:numPr>
        <w:jc w:val="both"/>
        <w:rPr>
          <w:rFonts w:ascii="Verdana" w:hAnsi="Verdana" w:cs="Arial"/>
        </w:rPr>
      </w:pPr>
      <w:r w:rsidRPr="00834A5E">
        <w:rPr>
          <w:rFonts w:ascii="Verdana" w:hAnsi="Verdana" w:cs="Arial"/>
          <w:b/>
          <w:bCs/>
        </w:rPr>
        <w:t>Obras de Modificación e Instalación:</w:t>
      </w:r>
      <w:r w:rsidRPr="00834A5E">
        <w:rPr>
          <w:rFonts w:ascii="Verdana" w:hAnsi="Verdana" w:cs="Arial"/>
        </w:rPr>
        <w:t xml:space="preserve"> Provisión e instalación de nuevos cruces semaforizados, modificaciones geométricas, incorporación de balizas peatonales o pórticos de mensajería variable. </w:t>
      </w:r>
    </w:p>
    <w:p w:rsidR="00522261" w:rsidRPr="00834A5E" w:rsidRDefault="00522261" w:rsidP="00522261">
      <w:pPr>
        <w:pStyle w:val="NormalWeb"/>
        <w:numPr>
          <w:ilvl w:val="0"/>
          <w:numId w:val="11"/>
        </w:numPr>
        <w:jc w:val="both"/>
        <w:rPr>
          <w:rFonts w:ascii="Verdana" w:hAnsi="Verdana" w:cs="Arial"/>
        </w:rPr>
      </w:pPr>
      <w:r w:rsidRPr="00834A5E">
        <w:rPr>
          <w:rFonts w:ascii="Verdana" w:hAnsi="Verdana" w:cs="Arial"/>
          <w:b/>
          <w:bCs/>
        </w:rPr>
        <w:t>Estudios de Ingeniería de Tránsito:</w:t>
      </w:r>
      <w:r w:rsidRPr="00834A5E">
        <w:rPr>
          <w:rFonts w:ascii="Verdana" w:hAnsi="Verdana" w:cs="Arial"/>
        </w:rPr>
        <w:t xml:space="preserve"> Elaboración de anteproyectos de semaforización, mediciones de flujo vehicular/peatonal, estudios de justificación técnica y estudios de reprogramación/optimización de redes de semáforos solicitados por el municipio. </w:t>
      </w:r>
    </w:p>
    <w:p w:rsidR="009E195D" w:rsidRPr="00834A5E" w:rsidRDefault="009E195D" w:rsidP="00522261">
      <w:pPr>
        <w:spacing w:before="100" w:beforeAutospacing="1" w:after="100" w:afterAutospacing="1" w:line="240" w:lineRule="auto"/>
        <w:jc w:val="both"/>
        <w:outlineLvl w:val="2"/>
        <w:rPr>
          <w:rFonts w:ascii="Verdana" w:eastAsia="Times New Roman" w:hAnsi="Verdana" w:cs="Arial"/>
          <w:b/>
          <w:bCs/>
          <w:sz w:val="27"/>
          <w:szCs w:val="27"/>
          <w:lang w:eastAsia="es-CL"/>
        </w:rPr>
      </w:pPr>
      <w:r w:rsidRPr="00834A5E">
        <w:rPr>
          <w:rFonts w:ascii="Verdana" w:eastAsia="Times New Roman" w:hAnsi="Verdana" w:cs="Arial"/>
          <w:b/>
          <w:bCs/>
          <w:sz w:val="27"/>
          <w:szCs w:val="27"/>
          <w:lang w:eastAsia="es-CL"/>
        </w:rPr>
        <w:t>5. TECNOLOGÍA, MONITOREO E INNOVACIÓN (</w:t>
      </w:r>
      <w:r w:rsidRPr="00834A5E">
        <w:rPr>
          <w:rFonts w:ascii="Verdana" w:eastAsia="Times New Roman" w:hAnsi="Verdana" w:cs="Arial"/>
          <w:b/>
          <w:bCs/>
          <w:i/>
          <w:iCs/>
          <w:sz w:val="27"/>
          <w:szCs w:val="27"/>
          <w:lang w:eastAsia="es-CL"/>
        </w:rPr>
        <w:t>Mejores Prácticas</w:t>
      </w:r>
      <w:r w:rsidRPr="00834A5E">
        <w:rPr>
          <w:rFonts w:ascii="Verdana" w:eastAsia="Times New Roman" w:hAnsi="Verdana" w:cs="Arial"/>
          <w:b/>
          <w:bCs/>
          <w:sz w:val="27"/>
          <w:szCs w:val="27"/>
          <w:lang w:eastAsia="es-CL"/>
        </w:rPr>
        <w:t>)</w:t>
      </w:r>
    </w:p>
    <w:p w:rsidR="009E195D" w:rsidRPr="00834A5E" w:rsidRDefault="009E195D" w:rsidP="00522261">
      <w:p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Para asegurar la eficiencia del servicio, el contratista deberá implementar los siguientes sistemas tecnológicos:</w:t>
      </w:r>
    </w:p>
    <w:p w:rsidR="009E195D" w:rsidRPr="00834A5E" w:rsidRDefault="009E195D" w:rsidP="00522261">
      <w:pPr>
        <w:numPr>
          <w:ilvl w:val="0"/>
          <w:numId w:val="6"/>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b/>
          <w:bCs/>
          <w:sz w:val="24"/>
          <w:szCs w:val="24"/>
          <w:lang w:eastAsia="es-CL"/>
        </w:rPr>
        <w:t>Control GPS de Flota:</w:t>
      </w:r>
      <w:r w:rsidRPr="00834A5E">
        <w:rPr>
          <w:rFonts w:ascii="Verdana" w:eastAsia="Times New Roman" w:hAnsi="Verdana" w:cs="Arial"/>
          <w:sz w:val="24"/>
          <w:szCs w:val="24"/>
          <w:lang w:eastAsia="es-CL"/>
        </w:rPr>
        <w:t xml:space="preserve"> Todos los vehículos asignados al contrato deben contar con GPS para que el municipio pueda fiscalizar en tiempo real los recorridos, tiempos de traslado y presencia del personal de emergencia en la comuna. </w:t>
      </w:r>
    </w:p>
    <w:p w:rsidR="009E195D" w:rsidRPr="00834A5E" w:rsidRDefault="009E195D" w:rsidP="00522261">
      <w:pPr>
        <w:numPr>
          <w:ilvl w:val="0"/>
          <w:numId w:val="6"/>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b/>
          <w:bCs/>
          <w:sz w:val="24"/>
          <w:szCs w:val="24"/>
          <w:lang w:eastAsia="es-CL"/>
        </w:rPr>
        <w:t>Reportes Ciudadanos mediante Códigos QR:</w:t>
      </w:r>
      <w:r w:rsidRPr="00834A5E">
        <w:rPr>
          <w:rFonts w:ascii="Verdana" w:eastAsia="Times New Roman" w:hAnsi="Verdana" w:cs="Arial"/>
          <w:sz w:val="24"/>
          <w:szCs w:val="24"/>
          <w:lang w:eastAsia="es-CL"/>
        </w:rPr>
        <w:t xml:space="preserve"> El contratista deberá instalar autoadhesivos con Códigos QR en los postes de semáforos de los pasos peatonales. Al escanearlo, el usuario será redirigido a un sitio web para reportar fallas, adjuntar fotografías y recibir actualizaciones del estado de su reporte, integrado directamente al sistema de gestión del contratista. </w:t>
      </w:r>
    </w:p>
    <w:p w:rsidR="009E195D" w:rsidRPr="00834A5E" w:rsidRDefault="009E195D" w:rsidP="00522261">
      <w:pPr>
        <w:numPr>
          <w:ilvl w:val="0"/>
          <w:numId w:val="6"/>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b/>
          <w:bCs/>
          <w:sz w:val="24"/>
          <w:szCs w:val="24"/>
          <w:lang w:eastAsia="es-CL"/>
        </w:rPr>
        <w:t>Catastro Digital (GIS/AutoCAD):</w:t>
      </w:r>
      <w:r w:rsidRPr="00834A5E">
        <w:rPr>
          <w:rFonts w:ascii="Verdana" w:eastAsia="Times New Roman" w:hAnsi="Verdana" w:cs="Arial"/>
          <w:sz w:val="24"/>
          <w:szCs w:val="24"/>
          <w:lang w:eastAsia="es-CL"/>
        </w:rPr>
        <w:t xml:space="preserve"> Mantener un catastro comunal actualizado de toda la planimetría (ubicación de cámaras, postes, cableado, empalmes y fases), accesible en línea para el municipio. </w:t>
      </w:r>
    </w:p>
    <w:p w:rsidR="009E195D" w:rsidRPr="00834A5E" w:rsidRDefault="009E195D" w:rsidP="00522261">
      <w:pPr>
        <w:spacing w:before="100" w:beforeAutospacing="1" w:after="100" w:afterAutospacing="1" w:line="240" w:lineRule="auto"/>
        <w:jc w:val="both"/>
        <w:outlineLvl w:val="2"/>
        <w:rPr>
          <w:rFonts w:ascii="Verdana" w:eastAsia="Times New Roman" w:hAnsi="Verdana" w:cs="Arial"/>
          <w:b/>
          <w:bCs/>
          <w:sz w:val="27"/>
          <w:szCs w:val="27"/>
          <w:lang w:eastAsia="es-CL"/>
        </w:rPr>
      </w:pPr>
      <w:r w:rsidRPr="00834A5E">
        <w:rPr>
          <w:rFonts w:ascii="Verdana" w:eastAsia="Times New Roman" w:hAnsi="Verdana" w:cs="Arial"/>
          <w:b/>
          <w:bCs/>
          <w:sz w:val="27"/>
          <w:szCs w:val="27"/>
          <w:lang w:eastAsia="es-CL"/>
        </w:rPr>
        <w:t>6. REQUISITOS DEL EQUIPO TÉCNICO Y EQUIPAMIENTO</w:t>
      </w:r>
    </w:p>
    <w:p w:rsidR="009E195D" w:rsidRPr="00834A5E" w:rsidRDefault="009E195D" w:rsidP="00522261">
      <w:p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El contratista deberá contar obligatoriamente con el siguiente respaldo técnico:</w:t>
      </w:r>
    </w:p>
    <w:p w:rsidR="009E195D" w:rsidRPr="00834A5E" w:rsidRDefault="009E195D" w:rsidP="00522261">
      <w:pPr>
        <w:numPr>
          <w:ilvl w:val="0"/>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b/>
          <w:bCs/>
          <w:sz w:val="24"/>
          <w:szCs w:val="24"/>
          <w:lang w:eastAsia="es-CL"/>
        </w:rPr>
        <w:t>Personal Calificado:</w:t>
      </w:r>
    </w:p>
    <w:p w:rsidR="009E195D" w:rsidRPr="00834A5E" w:rsidRDefault="009E195D" w:rsidP="00522261">
      <w:pPr>
        <w:numPr>
          <w:ilvl w:val="1"/>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Un Administrador/Jefe de Servicio (Ingeniero Civil Eléctrico/Electrónico) con amplia experiencia demostrable en administración de redes SCAT y acreditación SEC. </w:t>
      </w:r>
    </w:p>
    <w:p w:rsidR="009E195D" w:rsidRPr="00834A5E" w:rsidRDefault="009E195D" w:rsidP="00522261">
      <w:pPr>
        <w:numPr>
          <w:ilvl w:val="1"/>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Un Ingeniero especializado en Tránsito para la modelación, simulación y coordinación de tiempos de semáforos (redes SCOOT). </w:t>
      </w:r>
    </w:p>
    <w:p w:rsidR="009E195D" w:rsidRPr="00834A5E" w:rsidRDefault="009E195D" w:rsidP="00522261">
      <w:pPr>
        <w:numPr>
          <w:ilvl w:val="1"/>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lastRenderedPageBreak/>
        <w:t xml:space="preserve">Técnicos electrónicos y personal de guardia rotativo disponible 24/7. </w:t>
      </w:r>
    </w:p>
    <w:p w:rsidR="009E195D" w:rsidRPr="00834A5E" w:rsidRDefault="009E195D" w:rsidP="00522261">
      <w:pPr>
        <w:numPr>
          <w:ilvl w:val="0"/>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b/>
          <w:bCs/>
          <w:sz w:val="24"/>
          <w:szCs w:val="24"/>
          <w:lang w:eastAsia="es-CL"/>
        </w:rPr>
        <w:t>Vehículos y Herramientas:</w:t>
      </w:r>
    </w:p>
    <w:p w:rsidR="009E195D" w:rsidRPr="00834A5E" w:rsidRDefault="009E195D" w:rsidP="00522261">
      <w:pPr>
        <w:numPr>
          <w:ilvl w:val="1"/>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Vehículos de atención de emergencias con antigüedad no mayor a 3-5 años, equipados con flechas direccionales luminosas y elementos de seguridad vial. </w:t>
      </w:r>
    </w:p>
    <w:p w:rsidR="009E195D" w:rsidRPr="00834A5E" w:rsidRDefault="009E195D" w:rsidP="00522261">
      <w:pPr>
        <w:numPr>
          <w:ilvl w:val="1"/>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Equipos de respaldo portátiles (generadores) y señalización de faenas conforme al Capítulo 5 del Manual de Señalización. </w:t>
      </w:r>
    </w:p>
    <w:p w:rsidR="009E195D" w:rsidRPr="00834A5E" w:rsidRDefault="009E195D" w:rsidP="00522261">
      <w:pPr>
        <w:numPr>
          <w:ilvl w:val="1"/>
          <w:numId w:val="7"/>
        </w:numPr>
        <w:spacing w:before="100" w:beforeAutospacing="1" w:after="100" w:afterAutospacing="1" w:line="240" w:lineRule="auto"/>
        <w:jc w:val="both"/>
        <w:rPr>
          <w:rFonts w:ascii="Verdana" w:eastAsia="Times New Roman" w:hAnsi="Verdana" w:cs="Arial"/>
          <w:sz w:val="24"/>
          <w:szCs w:val="24"/>
          <w:lang w:eastAsia="es-CL"/>
        </w:rPr>
      </w:pPr>
      <w:r w:rsidRPr="00834A5E">
        <w:rPr>
          <w:rFonts w:ascii="Verdana" w:eastAsia="Times New Roman" w:hAnsi="Verdana" w:cs="Arial"/>
          <w:sz w:val="24"/>
          <w:szCs w:val="24"/>
          <w:lang w:eastAsia="es-CL"/>
        </w:rPr>
        <w:t xml:space="preserve">Vestimenta de alta visibilidad, elementos de protección personal (EPP) y protección contra rayos UV para todo el personal de terreno. </w:t>
      </w:r>
    </w:p>
    <w:p w:rsidR="00054658" w:rsidRPr="00834A5E" w:rsidRDefault="00054658" w:rsidP="00522261">
      <w:pPr>
        <w:jc w:val="both"/>
        <w:rPr>
          <w:rFonts w:ascii="Verdana" w:hAnsi="Verdana" w:cs="Arial"/>
        </w:rPr>
      </w:pPr>
    </w:p>
    <w:sectPr w:rsidR="00054658" w:rsidRPr="00834A5E" w:rsidSect="00B34B37">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BC8" w:rsidRDefault="00067BC8" w:rsidP="00834A5E">
      <w:pPr>
        <w:spacing w:after="0" w:line="240" w:lineRule="auto"/>
      </w:pPr>
      <w:r>
        <w:separator/>
      </w:r>
    </w:p>
  </w:endnote>
  <w:endnote w:type="continuationSeparator" w:id="0">
    <w:p w:rsidR="00067BC8" w:rsidRDefault="00067BC8" w:rsidP="00834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A5E" w:rsidRDefault="00834A5E">
    <w:pPr>
      <w:pStyle w:val="Piedepgina"/>
    </w:pPr>
    <w:r w:rsidRPr="00834A5E">
      <w:drawing>
        <wp:anchor distT="0" distB="0" distL="114300" distR="114300" simplePos="0" relativeHeight="251659264" behindDoc="0" locked="0" layoutInCell="1" allowOverlap="1" wp14:anchorId="0B247ABA" wp14:editId="32EC315B">
          <wp:simplePos x="0" y="0"/>
          <wp:positionH relativeFrom="column">
            <wp:posOffset>-716915</wp:posOffset>
          </wp:positionH>
          <wp:positionV relativeFrom="paragraph">
            <wp:posOffset>40640</wp:posOffset>
          </wp:positionV>
          <wp:extent cx="7269480" cy="1905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269480" cy="1905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BC8" w:rsidRDefault="00067BC8" w:rsidP="00834A5E">
      <w:pPr>
        <w:spacing w:after="0" w:line="240" w:lineRule="auto"/>
      </w:pPr>
      <w:r>
        <w:separator/>
      </w:r>
    </w:p>
  </w:footnote>
  <w:footnote w:type="continuationSeparator" w:id="0">
    <w:p w:rsidR="00067BC8" w:rsidRDefault="00067BC8" w:rsidP="00834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A5E" w:rsidRPr="00834A5E" w:rsidRDefault="00834A5E" w:rsidP="00834A5E">
    <w:pPr>
      <w:pStyle w:val="Encabezado"/>
    </w:pPr>
    <w:r>
      <w:rPr>
        <w:noProof/>
        <w:lang w:eastAsia="es-CL"/>
      </w:rPr>
      <mc:AlternateContent>
        <mc:Choice Requires="wps">
          <w:drawing>
            <wp:inline distT="0" distB="0" distL="0" distR="0" wp14:anchorId="797DEC35" wp14:editId="6EDBB4B9">
              <wp:extent cx="307340" cy="307340"/>
              <wp:effectExtent l="0" t="0" r="0" b="0"/>
              <wp:docPr id="3" name="Rectángulo 3" descr="blob:https://gemini.google.com/7d5cc486-b4fb-4365-b3cb-e72223e3663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82195" id="Rectángulo 3" o:spid="_x0000_s1026" alt="blob:https://gemini.google.com/7d5cc486-b4fb-4365-b3cb-e72223e3663b"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5063"/>
    <w:multiLevelType w:val="multilevel"/>
    <w:tmpl w:val="506C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B365A"/>
    <w:multiLevelType w:val="multilevel"/>
    <w:tmpl w:val="D854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F6EAD"/>
    <w:multiLevelType w:val="multilevel"/>
    <w:tmpl w:val="7DB6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B1B27"/>
    <w:multiLevelType w:val="multilevel"/>
    <w:tmpl w:val="B94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E2042"/>
    <w:multiLevelType w:val="multilevel"/>
    <w:tmpl w:val="6C6CE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B73D3"/>
    <w:multiLevelType w:val="multilevel"/>
    <w:tmpl w:val="544E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7F0275"/>
    <w:multiLevelType w:val="multilevel"/>
    <w:tmpl w:val="CB58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50F12"/>
    <w:multiLevelType w:val="multilevel"/>
    <w:tmpl w:val="CDBE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14DE6"/>
    <w:multiLevelType w:val="multilevel"/>
    <w:tmpl w:val="5BF0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3A3194"/>
    <w:multiLevelType w:val="hybridMultilevel"/>
    <w:tmpl w:val="5024D4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68BB21AA"/>
    <w:multiLevelType w:val="multilevel"/>
    <w:tmpl w:val="6B0AC998"/>
    <w:lvl w:ilvl="0">
      <w:start w:val="1"/>
      <w:numFmt w:val="bullet"/>
      <w:lvlText w:val=""/>
      <w:lvlJc w:val="left"/>
      <w:pPr>
        <w:tabs>
          <w:tab w:val="num" w:pos="2844"/>
        </w:tabs>
        <w:ind w:left="2844" w:hanging="360"/>
      </w:pPr>
      <w:rPr>
        <w:rFonts w:ascii="Symbol" w:hAnsi="Symbol" w:hint="default"/>
        <w:sz w:val="20"/>
      </w:rPr>
    </w:lvl>
    <w:lvl w:ilvl="1" w:tentative="1">
      <w:start w:val="1"/>
      <w:numFmt w:val="bullet"/>
      <w:lvlText w:val="o"/>
      <w:lvlJc w:val="left"/>
      <w:pPr>
        <w:tabs>
          <w:tab w:val="num" w:pos="3564"/>
        </w:tabs>
        <w:ind w:left="3564" w:hanging="360"/>
      </w:pPr>
      <w:rPr>
        <w:rFonts w:ascii="Courier New" w:hAnsi="Courier New" w:hint="default"/>
        <w:sz w:val="20"/>
      </w:rPr>
    </w:lvl>
    <w:lvl w:ilvl="2" w:tentative="1">
      <w:start w:val="1"/>
      <w:numFmt w:val="bullet"/>
      <w:lvlText w:val=""/>
      <w:lvlJc w:val="left"/>
      <w:pPr>
        <w:tabs>
          <w:tab w:val="num" w:pos="4284"/>
        </w:tabs>
        <w:ind w:left="4284" w:hanging="360"/>
      </w:pPr>
      <w:rPr>
        <w:rFonts w:ascii="Wingdings" w:hAnsi="Wingdings" w:hint="default"/>
        <w:sz w:val="20"/>
      </w:rPr>
    </w:lvl>
    <w:lvl w:ilvl="3" w:tentative="1">
      <w:start w:val="1"/>
      <w:numFmt w:val="bullet"/>
      <w:lvlText w:val=""/>
      <w:lvlJc w:val="left"/>
      <w:pPr>
        <w:tabs>
          <w:tab w:val="num" w:pos="5004"/>
        </w:tabs>
        <w:ind w:left="5004" w:hanging="360"/>
      </w:pPr>
      <w:rPr>
        <w:rFonts w:ascii="Wingdings" w:hAnsi="Wingdings" w:hint="default"/>
        <w:sz w:val="20"/>
      </w:rPr>
    </w:lvl>
    <w:lvl w:ilvl="4" w:tentative="1">
      <w:start w:val="1"/>
      <w:numFmt w:val="bullet"/>
      <w:lvlText w:val=""/>
      <w:lvlJc w:val="left"/>
      <w:pPr>
        <w:tabs>
          <w:tab w:val="num" w:pos="5724"/>
        </w:tabs>
        <w:ind w:left="5724" w:hanging="360"/>
      </w:pPr>
      <w:rPr>
        <w:rFonts w:ascii="Wingdings" w:hAnsi="Wingdings" w:hint="default"/>
        <w:sz w:val="20"/>
      </w:rPr>
    </w:lvl>
    <w:lvl w:ilvl="5" w:tentative="1">
      <w:start w:val="1"/>
      <w:numFmt w:val="bullet"/>
      <w:lvlText w:val=""/>
      <w:lvlJc w:val="left"/>
      <w:pPr>
        <w:tabs>
          <w:tab w:val="num" w:pos="6444"/>
        </w:tabs>
        <w:ind w:left="6444" w:hanging="360"/>
      </w:pPr>
      <w:rPr>
        <w:rFonts w:ascii="Wingdings" w:hAnsi="Wingdings" w:hint="default"/>
        <w:sz w:val="20"/>
      </w:rPr>
    </w:lvl>
    <w:lvl w:ilvl="6" w:tentative="1">
      <w:start w:val="1"/>
      <w:numFmt w:val="bullet"/>
      <w:lvlText w:val=""/>
      <w:lvlJc w:val="left"/>
      <w:pPr>
        <w:tabs>
          <w:tab w:val="num" w:pos="7164"/>
        </w:tabs>
        <w:ind w:left="7164" w:hanging="360"/>
      </w:pPr>
      <w:rPr>
        <w:rFonts w:ascii="Wingdings" w:hAnsi="Wingdings" w:hint="default"/>
        <w:sz w:val="20"/>
      </w:rPr>
    </w:lvl>
    <w:lvl w:ilvl="7" w:tentative="1">
      <w:start w:val="1"/>
      <w:numFmt w:val="bullet"/>
      <w:lvlText w:val=""/>
      <w:lvlJc w:val="left"/>
      <w:pPr>
        <w:tabs>
          <w:tab w:val="num" w:pos="7884"/>
        </w:tabs>
        <w:ind w:left="7884" w:hanging="360"/>
      </w:pPr>
      <w:rPr>
        <w:rFonts w:ascii="Wingdings" w:hAnsi="Wingdings" w:hint="default"/>
        <w:sz w:val="20"/>
      </w:rPr>
    </w:lvl>
    <w:lvl w:ilvl="8" w:tentative="1">
      <w:start w:val="1"/>
      <w:numFmt w:val="bullet"/>
      <w:lvlText w:val=""/>
      <w:lvlJc w:val="left"/>
      <w:pPr>
        <w:tabs>
          <w:tab w:val="num" w:pos="8604"/>
        </w:tabs>
        <w:ind w:left="8604" w:hanging="360"/>
      </w:pPr>
      <w:rPr>
        <w:rFonts w:ascii="Wingdings" w:hAnsi="Wingdings" w:hint="default"/>
        <w:sz w:val="20"/>
      </w:rPr>
    </w:lvl>
  </w:abstractNum>
  <w:abstractNum w:abstractNumId="11" w15:restartNumberingAfterBreak="0">
    <w:nsid w:val="6EFD325B"/>
    <w:multiLevelType w:val="multilevel"/>
    <w:tmpl w:val="334C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936146"/>
    <w:multiLevelType w:val="multilevel"/>
    <w:tmpl w:val="30488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E74754"/>
    <w:multiLevelType w:val="multilevel"/>
    <w:tmpl w:val="31DE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0"/>
  </w:num>
  <w:num w:numId="4">
    <w:abstractNumId w:val="1"/>
  </w:num>
  <w:num w:numId="5">
    <w:abstractNumId w:val="7"/>
  </w:num>
  <w:num w:numId="6">
    <w:abstractNumId w:val="2"/>
  </w:num>
  <w:num w:numId="7">
    <w:abstractNumId w:val="4"/>
  </w:num>
  <w:num w:numId="8">
    <w:abstractNumId w:val="12"/>
  </w:num>
  <w:num w:numId="9">
    <w:abstractNumId w:val="6"/>
  </w:num>
  <w:num w:numId="10">
    <w:abstractNumId w:val="11"/>
  </w:num>
  <w:num w:numId="11">
    <w:abstractNumId w:val="3"/>
  </w:num>
  <w:num w:numId="12">
    <w:abstractNumId w:val="5"/>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9D3"/>
    <w:rsid w:val="00054658"/>
    <w:rsid w:val="00067BC8"/>
    <w:rsid w:val="00522261"/>
    <w:rsid w:val="00834A5E"/>
    <w:rsid w:val="008F4D28"/>
    <w:rsid w:val="009E195D"/>
    <w:rsid w:val="00AB596A"/>
    <w:rsid w:val="00B34B37"/>
    <w:rsid w:val="00C11428"/>
    <w:rsid w:val="00C81395"/>
    <w:rsid w:val="00D5393B"/>
    <w:rsid w:val="00DE59D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6F6D1"/>
  <w15:chartTrackingRefBased/>
  <w15:docId w15:val="{34324C18-56AF-4352-B5E1-5FE4FA59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E19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3">
    <w:name w:val="heading 3"/>
    <w:basedOn w:val="Normal"/>
    <w:link w:val="Ttulo3Car"/>
    <w:uiPriority w:val="9"/>
    <w:qFormat/>
    <w:rsid w:val="009E195D"/>
    <w:pPr>
      <w:spacing w:before="100" w:beforeAutospacing="1" w:after="100" w:afterAutospacing="1" w:line="240" w:lineRule="auto"/>
      <w:outlineLvl w:val="2"/>
    </w:pPr>
    <w:rPr>
      <w:rFonts w:ascii="Times New Roman" w:eastAsia="Times New Roman" w:hAnsi="Times New Roman" w:cs="Times New Roman"/>
      <w:b/>
      <w:bCs/>
      <w:sz w:val="27"/>
      <w:szCs w:val="27"/>
      <w:lang w:eastAsia="es-CL"/>
    </w:rPr>
  </w:style>
  <w:style w:type="paragraph" w:styleId="Ttulo4">
    <w:name w:val="heading 4"/>
    <w:basedOn w:val="Normal"/>
    <w:link w:val="Ttulo4Car"/>
    <w:uiPriority w:val="9"/>
    <w:qFormat/>
    <w:rsid w:val="009E195D"/>
    <w:pPr>
      <w:spacing w:before="100" w:beforeAutospacing="1" w:after="100" w:afterAutospacing="1" w:line="240" w:lineRule="auto"/>
      <w:outlineLvl w:val="3"/>
    </w:pPr>
    <w:rPr>
      <w:rFonts w:ascii="Times New Roman" w:eastAsia="Times New Roman" w:hAnsi="Times New Roman" w:cs="Times New Roman"/>
      <w:b/>
      <w:bCs/>
      <w:sz w:val="24"/>
      <w:szCs w:val="24"/>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195D"/>
    <w:rPr>
      <w:rFonts w:ascii="Times New Roman" w:eastAsia="Times New Roman" w:hAnsi="Times New Roman" w:cs="Times New Roman"/>
      <w:b/>
      <w:bCs/>
      <w:kern w:val="36"/>
      <w:sz w:val="48"/>
      <w:szCs w:val="48"/>
      <w:lang w:eastAsia="es-CL"/>
    </w:rPr>
  </w:style>
  <w:style w:type="character" w:customStyle="1" w:styleId="Ttulo3Car">
    <w:name w:val="Título 3 Car"/>
    <w:basedOn w:val="Fuentedeprrafopredeter"/>
    <w:link w:val="Ttulo3"/>
    <w:uiPriority w:val="9"/>
    <w:rsid w:val="009E195D"/>
    <w:rPr>
      <w:rFonts w:ascii="Times New Roman" w:eastAsia="Times New Roman" w:hAnsi="Times New Roman" w:cs="Times New Roman"/>
      <w:b/>
      <w:bCs/>
      <w:sz w:val="27"/>
      <w:szCs w:val="27"/>
      <w:lang w:eastAsia="es-CL"/>
    </w:rPr>
  </w:style>
  <w:style w:type="character" w:customStyle="1" w:styleId="Ttulo4Car">
    <w:name w:val="Título 4 Car"/>
    <w:basedOn w:val="Fuentedeprrafopredeter"/>
    <w:link w:val="Ttulo4"/>
    <w:uiPriority w:val="9"/>
    <w:rsid w:val="009E195D"/>
    <w:rPr>
      <w:rFonts w:ascii="Times New Roman" w:eastAsia="Times New Roman" w:hAnsi="Times New Roman" w:cs="Times New Roman"/>
      <w:b/>
      <w:bCs/>
      <w:sz w:val="24"/>
      <w:szCs w:val="24"/>
      <w:lang w:eastAsia="es-CL"/>
    </w:rPr>
  </w:style>
  <w:style w:type="paragraph" w:styleId="NormalWeb">
    <w:name w:val="Normal (Web)"/>
    <w:basedOn w:val="Normal"/>
    <w:uiPriority w:val="99"/>
    <w:semiHidden/>
    <w:unhideWhenUsed/>
    <w:rsid w:val="009E195D"/>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Encabezado">
    <w:name w:val="header"/>
    <w:basedOn w:val="Normal"/>
    <w:link w:val="EncabezadoCar"/>
    <w:uiPriority w:val="99"/>
    <w:unhideWhenUsed/>
    <w:rsid w:val="00834A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4A5E"/>
  </w:style>
  <w:style w:type="paragraph" w:styleId="Piedepgina">
    <w:name w:val="footer"/>
    <w:basedOn w:val="Normal"/>
    <w:link w:val="PiedepginaCar"/>
    <w:uiPriority w:val="99"/>
    <w:unhideWhenUsed/>
    <w:rsid w:val="00834A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4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5426">
      <w:bodyDiv w:val="1"/>
      <w:marLeft w:val="0"/>
      <w:marRight w:val="0"/>
      <w:marTop w:val="0"/>
      <w:marBottom w:val="0"/>
      <w:divBdr>
        <w:top w:val="none" w:sz="0" w:space="0" w:color="auto"/>
        <w:left w:val="none" w:sz="0" w:space="0" w:color="auto"/>
        <w:bottom w:val="none" w:sz="0" w:space="0" w:color="auto"/>
        <w:right w:val="none" w:sz="0" w:space="0" w:color="auto"/>
      </w:divBdr>
    </w:div>
    <w:div w:id="508564618">
      <w:bodyDiv w:val="1"/>
      <w:marLeft w:val="0"/>
      <w:marRight w:val="0"/>
      <w:marTop w:val="0"/>
      <w:marBottom w:val="0"/>
      <w:divBdr>
        <w:top w:val="none" w:sz="0" w:space="0" w:color="auto"/>
        <w:left w:val="none" w:sz="0" w:space="0" w:color="auto"/>
        <w:bottom w:val="none" w:sz="0" w:space="0" w:color="auto"/>
        <w:right w:val="none" w:sz="0" w:space="0" w:color="auto"/>
      </w:divBdr>
    </w:div>
    <w:div w:id="572660380">
      <w:bodyDiv w:val="1"/>
      <w:marLeft w:val="0"/>
      <w:marRight w:val="0"/>
      <w:marTop w:val="0"/>
      <w:marBottom w:val="0"/>
      <w:divBdr>
        <w:top w:val="none" w:sz="0" w:space="0" w:color="auto"/>
        <w:left w:val="none" w:sz="0" w:space="0" w:color="auto"/>
        <w:bottom w:val="none" w:sz="0" w:space="0" w:color="auto"/>
        <w:right w:val="none" w:sz="0" w:space="0" w:color="auto"/>
      </w:divBdr>
    </w:div>
    <w:div w:id="904026145">
      <w:bodyDiv w:val="1"/>
      <w:marLeft w:val="0"/>
      <w:marRight w:val="0"/>
      <w:marTop w:val="0"/>
      <w:marBottom w:val="0"/>
      <w:divBdr>
        <w:top w:val="none" w:sz="0" w:space="0" w:color="auto"/>
        <w:left w:val="none" w:sz="0" w:space="0" w:color="auto"/>
        <w:bottom w:val="none" w:sz="0" w:space="0" w:color="auto"/>
        <w:right w:val="none" w:sz="0" w:space="0" w:color="auto"/>
      </w:divBdr>
    </w:div>
    <w:div w:id="1337146204">
      <w:bodyDiv w:val="1"/>
      <w:marLeft w:val="0"/>
      <w:marRight w:val="0"/>
      <w:marTop w:val="0"/>
      <w:marBottom w:val="0"/>
      <w:divBdr>
        <w:top w:val="none" w:sz="0" w:space="0" w:color="auto"/>
        <w:left w:val="none" w:sz="0" w:space="0" w:color="auto"/>
        <w:bottom w:val="none" w:sz="0" w:space="0" w:color="auto"/>
        <w:right w:val="none" w:sz="0" w:space="0" w:color="auto"/>
      </w:divBdr>
    </w:div>
    <w:div w:id="1361976655">
      <w:bodyDiv w:val="1"/>
      <w:marLeft w:val="0"/>
      <w:marRight w:val="0"/>
      <w:marTop w:val="0"/>
      <w:marBottom w:val="0"/>
      <w:divBdr>
        <w:top w:val="none" w:sz="0" w:space="0" w:color="auto"/>
        <w:left w:val="none" w:sz="0" w:space="0" w:color="auto"/>
        <w:bottom w:val="none" w:sz="0" w:space="0" w:color="auto"/>
        <w:right w:val="none" w:sz="0" w:space="0" w:color="auto"/>
      </w:divBdr>
    </w:div>
    <w:div w:id="153291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1427</Words>
  <Characters>7852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Terán</dc:creator>
  <cp:keywords/>
  <dc:description/>
  <cp:lastModifiedBy>Héctor Terán</cp:lastModifiedBy>
  <cp:revision>2</cp:revision>
  <dcterms:created xsi:type="dcterms:W3CDTF">2026-09-01T19:10:00Z</dcterms:created>
  <dcterms:modified xsi:type="dcterms:W3CDTF">2026-09-01T19:10:00Z</dcterms:modified>
</cp:coreProperties>
</file>